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山东泰开成套电器有限公司</w:t>
      </w:r>
    </w:p>
    <w:p>
      <w:pPr>
        <w:jc w:val="center"/>
        <w:rPr>
          <w:rFonts w:hint="eastAsia"/>
          <w:b/>
          <w:bCs/>
          <w:sz w:val="40"/>
          <w:szCs w:val="48"/>
          <w:lang w:val="en-US" w:eastAsia="zh-CN"/>
        </w:rPr>
      </w:pPr>
      <w:r>
        <w:rPr>
          <w:rFonts w:hint="eastAsia"/>
          <w:b/>
          <w:bCs/>
          <w:sz w:val="40"/>
          <w:szCs w:val="48"/>
          <w:lang w:val="en-US" w:eastAsia="zh-CN"/>
        </w:rPr>
        <w:t>危险废物防治责任信息</w:t>
      </w:r>
    </w:p>
    <w:p>
      <w:pPr>
        <w:ind w:firstLine="560" w:firstLineChars="200"/>
        <w:jc w:val="left"/>
        <w:rPr>
          <w:rFonts w:hint="eastAsia"/>
          <w:b w:val="0"/>
          <w:bCs w:val="0"/>
          <w:sz w:val="28"/>
          <w:szCs w:val="36"/>
          <w:lang w:val="en-US" w:eastAsia="zh-CN"/>
        </w:rPr>
      </w:pPr>
      <w:r>
        <w:rPr>
          <w:rFonts w:hint="eastAsia"/>
          <w:b w:val="0"/>
          <w:bCs w:val="0"/>
          <w:sz w:val="28"/>
          <w:szCs w:val="36"/>
          <w:lang w:val="en-US" w:eastAsia="zh-CN"/>
        </w:rPr>
        <w:t>依据《中华人民共和国固体废物污染环境防治法》要求</w:t>
      </w:r>
      <w:r>
        <w:rPr>
          <w:rFonts w:hint="eastAsia"/>
          <w:b w:val="0"/>
          <w:bCs w:val="0"/>
          <w:sz w:val="28"/>
          <w:szCs w:val="36"/>
          <w:lang w:val="en-US" w:eastAsia="zh-CN"/>
        </w:rPr>
        <w:t>，产生工业固体废物的单位应当建立健全工业固体废物产生、 收集、贮存、运输、 利用、处置全过程的污染环境防治责任制度，并采取防治工业固体废物污染环境的措施。按照《固废法》的要求，我公司建立了文献废物管理制度制度中明确了公司内的危废废物防治责任，现对危险废物防治责任信息进行公示。</w:t>
      </w:r>
    </w:p>
    <w:tbl>
      <w:tblPr>
        <w:tblStyle w:val="3"/>
        <w:tblW w:w="14973"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56"/>
        <w:gridCol w:w="1838"/>
        <w:gridCol w:w="1662"/>
        <w:gridCol w:w="1892"/>
        <w:gridCol w:w="1892"/>
        <w:gridCol w:w="1798"/>
        <w:gridCol w:w="1837"/>
        <w:gridCol w:w="154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60"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序号</w:t>
            </w:r>
          </w:p>
        </w:tc>
        <w:tc>
          <w:tcPr>
            <w:tcW w:w="1838"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危险废物名称</w:t>
            </w:r>
          </w:p>
        </w:tc>
        <w:tc>
          <w:tcPr>
            <w:tcW w:w="1662"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危废类别、</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危废代码</w:t>
            </w:r>
          </w:p>
        </w:tc>
        <w:tc>
          <w:tcPr>
            <w:tcW w:w="1892"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危险特性</w:t>
            </w:r>
          </w:p>
        </w:tc>
        <w:tc>
          <w:tcPr>
            <w:tcW w:w="1892"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产生工序</w:t>
            </w:r>
          </w:p>
        </w:tc>
        <w:tc>
          <w:tcPr>
            <w:tcW w:w="1798"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收集责任人</w:t>
            </w:r>
          </w:p>
        </w:tc>
        <w:tc>
          <w:tcPr>
            <w:tcW w:w="1837"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转移责任人</w:t>
            </w:r>
          </w:p>
        </w:tc>
        <w:tc>
          <w:tcPr>
            <w:tcW w:w="1541"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贮存责任人</w:t>
            </w:r>
          </w:p>
        </w:tc>
        <w:tc>
          <w:tcPr>
            <w:tcW w:w="175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危废去向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w:t>
            </w:r>
          </w:p>
        </w:tc>
        <w:tc>
          <w:tcPr>
            <w:tcW w:w="1838" w:type="dxa"/>
            <w:vMerge w:val="restart"/>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废矿物油</w:t>
            </w:r>
          </w:p>
        </w:tc>
        <w:tc>
          <w:tcPr>
            <w:tcW w:w="1662" w:type="dxa"/>
            <w:vMerge w:val="restart"/>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HW08</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900-218-08</w:t>
            </w:r>
          </w:p>
        </w:tc>
        <w:tc>
          <w:tcPr>
            <w:tcW w:w="1892" w:type="dxa"/>
            <w:vMerge w:val="restart"/>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易燃性、毒性</w:t>
            </w:r>
          </w:p>
        </w:tc>
        <w:tc>
          <w:tcPr>
            <w:tcW w:w="1892" w:type="dxa"/>
            <w:vMerge w:val="restart"/>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冲床、剪板机、空压机等液压设备</w:t>
            </w: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孙国强</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15588577246</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李旭升</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18660829626</w:t>
            </w:r>
          </w:p>
        </w:tc>
        <w:tc>
          <w:tcPr>
            <w:tcW w:w="1541" w:type="dxa"/>
            <w:vMerge w:val="restart"/>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刘冰</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15254886955</w:t>
            </w:r>
          </w:p>
        </w:tc>
        <w:tc>
          <w:tcPr>
            <w:tcW w:w="1757" w:type="dxa"/>
            <w:vMerge w:val="restart"/>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收集后转运至危废间暂存，由有资质的危废处置单位处置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2</w:t>
            </w:r>
          </w:p>
        </w:tc>
        <w:tc>
          <w:tcPr>
            <w:tcW w:w="1838" w:type="dxa"/>
            <w:vMerge w:val="continue"/>
            <w:tcBorders/>
            <w:vAlign w:val="center"/>
          </w:tcPr>
          <w:p>
            <w:pPr>
              <w:jc w:val="center"/>
              <w:rPr>
                <w:rFonts w:hint="default"/>
                <w:b w:val="0"/>
                <w:bCs w:val="0"/>
                <w:sz w:val="24"/>
                <w:szCs w:val="32"/>
                <w:vertAlign w:val="baseline"/>
                <w:lang w:val="en-US" w:eastAsia="zh-CN"/>
              </w:rPr>
            </w:pPr>
          </w:p>
        </w:tc>
        <w:tc>
          <w:tcPr>
            <w:tcW w:w="166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王飞</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13255388077</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张树栋</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15550898529</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3</w:t>
            </w:r>
          </w:p>
        </w:tc>
        <w:tc>
          <w:tcPr>
            <w:tcW w:w="1838" w:type="dxa"/>
            <w:vMerge w:val="continue"/>
            <w:tcBorders/>
            <w:vAlign w:val="center"/>
          </w:tcPr>
          <w:p>
            <w:pPr>
              <w:jc w:val="center"/>
              <w:rPr>
                <w:rFonts w:hint="default"/>
                <w:b w:val="0"/>
                <w:bCs w:val="0"/>
                <w:sz w:val="24"/>
                <w:szCs w:val="32"/>
                <w:vertAlign w:val="baseline"/>
                <w:lang w:val="en-US" w:eastAsia="zh-CN"/>
              </w:rPr>
            </w:pPr>
          </w:p>
        </w:tc>
        <w:tc>
          <w:tcPr>
            <w:tcW w:w="166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申晨</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15588683767</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冯德振</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13181849559</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4</w:t>
            </w:r>
          </w:p>
        </w:tc>
        <w:tc>
          <w:tcPr>
            <w:tcW w:w="1838" w:type="dxa"/>
            <w:vMerge w:val="continue"/>
            <w:tcBorders/>
            <w:vAlign w:val="center"/>
          </w:tcPr>
          <w:p>
            <w:pPr>
              <w:jc w:val="center"/>
              <w:rPr>
                <w:rFonts w:hint="default"/>
                <w:b w:val="0"/>
                <w:bCs w:val="0"/>
                <w:sz w:val="24"/>
                <w:szCs w:val="32"/>
                <w:vertAlign w:val="baseline"/>
                <w:lang w:val="en-US" w:eastAsia="zh-CN"/>
              </w:rPr>
            </w:pPr>
          </w:p>
        </w:tc>
        <w:tc>
          <w:tcPr>
            <w:tcW w:w="166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张洁</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15588510883</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李攀</w:t>
            </w:r>
          </w:p>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15610388181</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5</w:t>
            </w:r>
          </w:p>
        </w:tc>
        <w:tc>
          <w:tcPr>
            <w:tcW w:w="1838" w:type="dxa"/>
            <w:vMerge w:val="restart"/>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废油桶</w:t>
            </w:r>
          </w:p>
        </w:tc>
        <w:tc>
          <w:tcPr>
            <w:tcW w:w="1662" w:type="dxa"/>
            <w:vMerge w:val="restart"/>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HW49</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900-041-49</w:t>
            </w:r>
          </w:p>
        </w:tc>
        <w:tc>
          <w:tcPr>
            <w:tcW w:w="1892" w:type="dxa"/>
            <w:vMerge w:val="restart"/>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毒性/感染性</w:t>
            </w:r>
          </w:p>
        </w:tc>
        <w:tc>
          <w:tcPr>
            <w:tcW w:w="1892" w:type="dxa"/>
            <w:vMerge w:val="restart"/>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冲床、剪板机、空压机等液压设备</w:t>
            </w: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孙国强</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15588577246</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李旭升</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18660829626</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6</w:t>
            </w:r>
          </w:p>
        </w:tc>
        <w:tc>
          <w:tcPr>
            <w:tcW w:w="1838"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66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89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89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王飞</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13255388077</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张树栋</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15550898529</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7</w:t>
            </w:r>
          </w:p>
        </w:tc>
        <w:tc>
          <w:tcPr>
            <w:tcW w:w="1838"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66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89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892" w:type="dxa"/>
            <w:vMerge w:val="continue"/>
            <w:tcBorders/>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申晨</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15588683767</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冯德振</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13181849559</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8</w:t>
            </w:r>
          </w:p>
        </w:tc>
        <w:tc>
          <w:tcPr>
            <w:tcW w:w="1838" w:type="dxa"/>
            <w:vMerge w:val="continue"/>
            <w:tcBorders/>
            <w:vAlign w:val="center"/>
          </w:tcPr>
          <w:p>
            <w:pPr>
              <w:jc w:val="center"/>
              <w:rPr>
                <w:rFonts w:hint="default"/>
                <w:b w:val="0"/>
                <w:bCs w:val="0"/>
                <w:sz w:val="24"/>
                <w:szCs w:val="32"/>
                <w:vertAlign w:val="baseline"/>
                <w:lang w:val="en-US" w:eastAsia="zh-CN"/>
              </w:rPr>
            </w:pPr>
          </w:p>
        </w:tc>
        <w:tc>
          <w:tcPr>
            <w:tcW w:w="166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892" w:type="dxa"/>
            <w:vMerge w:val="continue"/>
            <w:tcBorders/>
            <w:vAlign w:val="center"/>
          </w:tcPr>
          <w:p>
            <w:pPr>
              <w:jc w:val="center"/>
              <w:rPr>
                <w:rFonts w:hint="default"/>
                <w:b w:val="0"/>
                <w:bCs w:val="0"/>
                <w:sz w:val="24"/>
                <w:szCs w:val="32"/>
                <w:vertAlign w:val="baseline"/>
                <w:lang w:val="en-US" w:eastAsia="zh-CN"/>
              </w:rPr>
            </w:pP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张洁</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15588510883</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李攀</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15610388181</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9</w:t>
            </w:r>
          </w:p>
        </w:tc>
        <w:tc>
          <w:tcPr>
            <w:tcW w:w="1838" w:type="dxa"/>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废活性炭</w:t>
            </w:r>
          </w:p>
        </w:tc>
        <w:tc>
          <w:tcPr>
            <w:tcW w:w="1662"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HW49</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900-039-49</w:t>
            </w:r>
          </w:p>
        </w:tc>
        <w:tc>
          <w:tcPr>
            <w:tcW w:w="1892" w:type="dxa"/>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毒性</w:t>
            </w:r>
          </w:p>
        </w:tc>
        <w:tc>
          <w:tcPr>
            <w:tcW w:w="1892"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废气治理设备、</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污水处理站</w:t>
            </w: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孙国强</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15588577246</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李旭升</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18660829626</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756" w:type="dxa"/>
            <w:vAlign w:val="center"/>
          </w:tcPr>
          <w:p>
            <w:pPr>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10</w:t>
            </w:r>
          </w:p>
        </w:tc>
        <w:tc>
          <w:tcPr>
            <w:tcW w:w="1838" w:type="dxa"/>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污水处理设备污泥</w:t>
            </w:r>
          </w:p>
        </w:tc>
        <w:tc>
          <w:tcPr>
            <w:tcW w:w="1662"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HW17</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336-064-17</w:t>
            </w:r>
          </w:p>
        </w:tc>
        <w:tc>
          <w:tcPr>
            <w:tcW w:w="1892" w:type="dxa"/>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毒性/感染性</w:t>
            </w:r>
          </w:p>
        </w:tc>
        <w:tc>
          <w:tcPr>
            <w:tcW w:w="1892" w:type="dxa"/>
            <w:vAlign w:val="center"/>
          </w:tcPr>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污水处理站</w:t>
            </w:r>
          </w:p>
        </w:tc>
        <w:tc>
          <w:tcPr>
            <w:tcW w:w="1798"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孙国强</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15588577246</w:t>
            </w:r>
          </w:p>
        </w:tc>
        <w:tc>
          <w:tcPr>
            <w:tcW w:w="1837" w:type="dxa"/>
            <w:vAlign w:val="center"/>
          </w:tcPr>
          <w:p>
            <w:pPr>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李旭升</w:t>
            </w:r>
          </w:p>
          <w:p>
            <w:pPr>
              <w:jc w:val="center"/>
              <w:rPr>
                <w:rFonts w:hint="default" w:asciiTheme="minorHAnsi" w:hAnsiTheme="minorHAnsi" w:eastAsiaTheme="minorEastAsia" w:cstheme="minorBidi"/>
                <w:b w:val="0"/>
                <w:bCs w:val="0"/>
                <w:kern w:val="2"/>
                <w:sz w:val="24"/>
                <w:szCs w:val="32"/>
                <w:vertAlign w:val="baseline"/>
                <w:lang w:val="en-US" w:eastAsia="zh-CN" w:bidi="ar-SA"/>
              </w:rPr>
            </w:pPr>
            <w:r>
              <w:rPr>
                <w:rFonts w:hint="eastAsia"/>
                <w:b w:val="0"/>
                <w:bCs w:val="0"/>
                <w:sz w:val="24"/>
                <w:szCs w:val="32"/>
                <w:vertAlign w:val="baseline"/>
                <w:lang w:val="en-US" w:eastAsia="zh-CN"/>
              </w:rPr>
              <w:t>18660829626</w:t>
            </w:r>
          </w:p>
        </w:tc>
        <w:tc>
          <w:tcPr>
            <w:tcW w:w="1541" w:type="dxa"/>
            <w:vMerge w:val="continue"/>
            <w:tcBorders/>
            <w:vAlign w:val="center"/>
          </w:tcPr>
          <w:p>
            <w:pPr>
              <w:jc w:val="center"/>
              <w:rPr>
                <w:rFonts w:hint="default"/>
                <w:b w:val="0"/>
                <w:bCs w:val="0"/>
                <w:sz w:val="24"/>
                <w:szCs w:val="32"/>
                <w:vertAlign w:val="baseline"/>
                <w:lang w:val="en-US" w:eastAsia="zh-CN"/>
              </w:rPr>
            </w:pPr>
          </w:p>
        </w:tc>
        <w:tc>
          <w:tcPr>
            <w:tcW w:w="1757" w:type="dxa"/>
            <w:vMerge w:val="continue"/>
            <w:tcBorders/>
            <w:vAlign w:val="center"/>
          </w:tcPr>
          <w:p>
            <w:pPr>
              <w:jc w:val="center"/>
              <w:rPr>
                <w:rFonts w:hint="default"/>
                <w:b w:val="0"/>
                <w:bCs w:val="0"/>
                <w:sz w:val="24"/>
                <w:szCs w:val="32"/>
                <w:vertAlign w:val="baseline"/>
                <w:lang w:val="en-US" w:eastAsia="zh-CN"/>
              </w:rPr>
            </w:pPr>
          </w:p>
        </w:tc>
      </w:tr>
    </w:tbl>
    <w:p>
      <w:pPr>
        <w:jc w:val="left"/>
        <w:rPr>
          <w:rFonts w:hint="default"/>
          <w:b w:val="0"/>
          <w:bCs w:val="0"/>
          <w:sz w:val="28"/>
          <w:szCs w:val="36"/>
          <w:lang w:val="en-US" w:eastAsia="zh-CN"/>
        </w:rPr>
      </w:pPr>
    </w:p>
    <w:sectPr>
      <w:pgSz w:w="16838" w:h="11906" w:orient="landscape"/>
      <w:pgMar w:top="113" w:right="850" w:bottom="113"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TBiYTkwZDA3NDVmMGNkZTA2YWRmZjJiMDNkZTkifQ=="/>
  </w:docVars>
  <w:rsids>
    <w:rsidRoot w:val="00000000"/>
    <w:rsid w:val="6CCA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2023-07-31T01:45:28Z</dcterms:created>
  <dc:creator>Lenovo</dc:creator>
  <cp:lastModifiedBy>Lenovo</cp:lastModifiedBy>
  <dcterms:modified xsi:type="dcterms:W3CDTF">2023-07-31T03:20:14Z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6228408FEFA54BC687D47617881BFAA4_12</vt:lpwstr>
  </property>
</Properties>
</file>